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Standard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</w:rPr>
        <w:t>ALLEGATO "E"</w:t>
      </w:r>
    </w:p>
    <w:p>
      <w:pPr>
        <w:pStyle w:val="Standard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Procedura di selezione, per titoli e colloquio, finalizzata alla individuazione di Personale Docente in servizio presso Scuole dell’infanzia e primaria del Sistema Nazionale di Istruzione, da utilizzare presso il Dipartimento di Scienze dell'Educazione nell'ambito del Corso di Laurea Magistrale a ciclo unico in Scienze della Formazione Primaria </w:t>
      </w:r>
      <w:r>
        <w:rPr>
          <w:rFonts w:cs="Arial" w:ascii="Arial" w:hAnsi="Arial"/>
          <w:b/>
          <w:sz w:val="24"/>
          <w:szCs w:val="24"/>
        </w:rPr>
        <w:t>per l’ A.A. 2025-25</w:t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HTMLPreformatte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HTMLPreformatted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u w:val="single"/>
        </w:rPr>
        <w:t xml:space="preserve">punto </w:t>
      </w:r>
      <w:r>
        <w:rPr>
          <w:rFonts w:cs="Arial" w:ascii="Arial" w:hAnsi="Arial"/>
          <w:b/>
          <w:bCs/>
          <w:sz w:val="22"/>
          <w:szCs w:val="22"/>
          <w:u w:val="single"/>
        </w:rPr>
        <w:t>b) (punti 2)</w:t>
      </w:r>
    </w:p>
    <w:p>
      <w:pPr>
        <w:pStyle w:val="HTMLPreformatted"/>
        <w:ind w:start="360"/>
        <w:jc w:val="both"/>
        <w:rPr/>
      </w:pPr>
      <w:r>
        <w:rPr>
          <w:rFonts w:cs="Arial" w:ascii="Arial" w:hAnsi="Arial"/>
          <w:sz w:val="22"/>
          <w:szCs w:val="22"/>
        </w:rPr>
        <w:t>Si considerano soggetti accreditati quelli contenuti nell’apposito</w:t>
        <w:br/>
        <w:t>elenco all’indirizzo:</w:t>
      </w:r>
    </w:p>
    <w:p>
      <w:pPr>
        <w:pStyle w:val="Standard"/>
        <w:spacing w:before="0" w:after="0"/>
        <w:ind w:start="360"/>
        <w:rPr/>
      </w:pPr>
      <w:hyperlink r:id="rId2">
        <w:r>
          <w:rPr>
            <w:rStyle w:val="Style9"/>
            <w:rFonts w:cs="Arial" w:ascii="Arial" w:hAnsi="Arial"/>
            <w:color w:val="0000FF"/>
            <w:u w:val="single"/>
          </w:rPr>
          <w:t>https://www.miur.gov.it/accreditamento-enti-e-qualificazione-associazioni</w:t>
        </w:r>
      </w:hyperlink>
      <w:r>
        <w:rPr>
          <w:rFonts w:cs="Arial" w:ascii="Arial" w:hAnsi="Arial"/>
        </w:rPr>
        <w:t>,</w:t>
      </w:r>
    </w:p>
    <w:p>
      <w:pPr>
        <w:pStyle w:val="Standard"/>
        <w:spacing w:before="0" w:after="0"/>
        <w:ind w:start="360"/>
        <w:rPr/>
      </w:pPr>
      <w:r>
        <w:rPr>
          <w:rFonts w:cs="Arial" w:ascii="Arial" w:hAnsi="Arial"/>
        </w:rPr>
        <w:t>oltre a Università e loro consorzi, Irre e Irrsae, in accordo al DM 177/2000 art. 1 e Direttiva 90/2003</w:t>
      </w:r>
    </w:p>
    <w:p>
      <w:pPr>
        <w:pStyle w:val="HTMLPreformatted"/>
        <w:ind w:star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TMLPreformatted"/>
        <w:ind w:star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u w:val="single"/>
        </w:rPr>
        <w:t xml:space="preserve">al punto  </w:t>
      </w:r>
      <w:r>
        <w:rPr>
          <w:rFonts w:cs="Arial" w:ascii="Arial" w:hAnsi="Arial"/>
          <w:b/>
          <w:bCs/>
          <w:u w:val="single"/>
        </w:rPr>
        <w:t>e) (punti 6)</w:t>
      </w:r>
    </w:p>
    <w:p>
      <w:pPr>
        <w:pStyle w:val="Standard"/>
        <w:spacing w:before="0" w:after="0"/>
        <w:ind w:start="360"/>
        <w:rPr/>
      </w:pPr>
      <w:r>
        <w:rPr>
          <w:rFonts w:cs="Arial" w:ascii="Arial" w:hAnsi="Arial"/>
        </w:rPr>
        <w:t>vengono considerati SOLO gli insegnamenti e/o i laboratori didattici svolti con regolare contratto presso i CdL in Scienze della Formazione Primaria o le SSIS;</w:t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TMLPreformatted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  <w:u w:val="single"/>
        </w:rPr>
        <w:t xml:space="preserve">punto </w:t>
      </w:r>
      <w:r>
        <w:rPr>
          <w:rFonts w:cs="Arial" w:ascii="Arial" w:hAnsi="Arial"/>
          <w:b/>
          <w:bCs/>
          <w:sz w:val="22"/>
          <w:szCs w:val="22"/>
          <w:u w:val="single"/>
        </w:rPr>
        <w:t>f)</w:t>
      </w:r>
      <w:r>
        <w:rPr>
          <w:rFonts w:cs="Arial" w:ascii="Arial" w:hAnsi="Arial"/>
          <w:sz w:val="22"/>
          <w:szCs w:val="22"/>
          <w:u w:val="single"/>
        </w:rPr>
        <w:t xml:space="preserve"> </w:t>
      </w:r>
      <w:r>
        <w:rPr>
          <w:rFonts w:cs="Arial" w:ascii="Arial" w:hAnsi="Arial"/>
          <w:b/>
          <w:sz w:val="22"/>
          <w:szCs w:val="22"/>
          <w:u w:val="single"/>
        </w:rPr>
        <w:t>(punti 3)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 xml:space="preserve">Si intendono enti pubblici di ricerca quelli inclusi nell’elenco MUR, inclusi IRRE e  </w:t>
        <w:br/>
        <w:t>IRRSAE, INDIRE/ANSAS: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https://www.mur.gov.it/it/aree-tematiche/ricerca/il-sistema-della-ricerca/enti-di-ricerca-pubblici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TMLPreformatted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  <w:u w:val="single"/>
        </w:rPr>
        <w:t xml:space="preserve">punto </w:t>
      </w:r>
      <w:r>
        <w:rPr>
          <w:rFonts w:cs="Arial" w:ascii="Arial" w:hAnsi="Arial"/>
          <w:b/>
          <w:bCs/>
          <w:sz w:val="22"/>
          <w:szCs w:val="22"/>
          <w:u w:val="single"/>
        </w:rPr>
        <w:t>g) (da punti 1 a massimo punti 5)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29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start="709"/>
        <w:jc w:val="both"/>
        <w:rPr/>
      </w:pPr>
      <w:r>
        <w:rPr>
          <w:rFonts w:cs="Arial" w:ascii="Arial" w:hAnsi="Arial"/>
          <w:sz w:val="22"/>
          <w:szCs w:val="22"/>
        </w:rPr>
        <w:t>Si considereranno:</w:t>
      </w:r>
    </w:p>
    <w:p>
      <w:pPr>
        <w:pStyle w:val="HTMLPreformatted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Saggi (compresi saggi brevi e contributi in atti di convegno) e volumi in edizioni con ISBN</w:t>
      </w:r>
    </w:p>
    <w:p>
      <w:pPr>
        <w:pStyle w:val="HTMLPreformatted"/>
        <w:numPr>
          <w:ilvl w:val="0"/>
          <w:numId w:val="1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Articoli in riviste con ISSN</w:t>
      </w:r>
    </w:p>
    <w:p>
      <w:pPr>
        <w:pStyle w:val="HTMLPreformatted"/>
        <w:numPr>
          <w:ilvl w:val="0"/>
          <w:numId w:val="1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Saggi, monografie e articoli in riviste a firma multipla: solo se esplicitamente riconoscibile l’apporto individuale del candidato.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Punteggi attribuibili (alla pari pubblicazioni nazionali e internazionali):</w:t>
      </w:r>
    </w:p>
    <w:p>
      <w:pPr>
        <w:pStyle w:val="HTMLPreformatted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Monografie con ISBN = 1</w:t>
      </w:r>
    </w:p>
    <w:p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Saggi in volumi con ISBN = 0,50 oppure 0,25</w:t>
      </w:r>
    </w:p>
    <w:p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Articoli in riviste in fascia A = 0,50</w:t>
      </w:r>
    </w:p>
    <w:p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Articoli in riviste non in fascia A (purché con ISSN) = 0,25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Laddove il punteggio totale risulti inferiore a 1, verrà comunque attribuito il punteggio minimo 1.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Per quanto concerne le riviste on line, vengono prese in considerazione solo le pubblicazioni contenute in riviste con ISSN.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/>
      </w:pPr>
      <w:r>
        <w:rPr>
          <w:rFonts w:cs="Arial" w:ascii="Arial" w:hAnsi="Arial"/>
          <w:sz w:val="22"/>
          <w:szCs w:val="22"/>
        </w:rPr>
        <w:t>Saranno prese in considerazione unicamente pubblicazioni allegate in forma integrale in PDF.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TMLPreformatted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 w:leader="none"/>
          <w:tab w:val="left" w:pos="1625" w:leader="none"/>
          <w:tab w:val="left" w:pos="2541" w:leader="none"/>
          <w:tab w:val="left" w:pos="3457" w:leader="none"/>
          <w:tab w:val="left" w:pos="4373" w:leader="none"/>
          <w:tab w:val="left" w:pos="5289" w:leader="none"/>
          <w:tab w:val="left" w:pos="6205" w:leader="none"/>
          <w:tab w:val="left" w:pos="7121" w:leader="none"/>
          <w:tab w:val="left" w:pos="8037" w:leader="none"/>
          <w:tab w:val="left" w:pos="8953" w:leader="none"/>
          <w:tab w:val="left" w:pos="9869" w:leader="none"/>
          <w:tab w:val="left" w:pos="10785" w:leader="none"/>
          <w:tab w:val="left" w:pos="11701" w:leader="none"/>
          <w:tab w:val="left" w:pos="12617" w:leader="none"/>
          <w:tab w:val="left" w:pos="13533" w:leader="none"/>
          <w:tab w:val="left" w:pos="14449" w:leader="none"/>
          <w:tab w:val="left" w:pos="15365" w:leader="none"/>
        </w:tabs>
        <w:ind w:hanging="283" w:start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TMLPreformatted"/>
        <w:numPr>
          <w:ilvl w:val="0"/>
          <w:numId w:val="16"/>
        </w:numPr>
        <w:jc w:val="both"/>
        <w:rPr/>
      </w:pPr>
      <w:r>
        <w:rPr>
          <w:rFonts w:cs="Arial" w:ascii="Arial" w:hAnsi="Arial"/>
          <w:sz w:val="22"/>
          <w:szCs w:val="22"/>
          <w:u w:val="single"/>
        </w:rPr>
        <w:t xml:space="preserve">punto </w:t>
      </w:r>
      <w:r>
        <w:rPr>
          <w:rFonts w:cs="Arial" w:ascii="Arial" w:hAnsi="Arial"/>
          <w:b/>
          <w:bCs/>
          <w:sz w:val="22"/>
          <w:szCs w:val="22"/>
          <w:u w:val="single"/>
        </w:rPr>
        <w:t>h)</w:t>
      </w:r>
      <w:r>
        <w:rPr>
          <w:rFonts w:cs="Arial" w:ascii="Arial" w:hAnsi="Arial"/>
          <w:b/>
          <w:sz w:val="22"/>
          <w:szCs w:val="22"/>
          <w:u w:val="single"/>
        </w:rPr>
        <w:t xml:space="preserve"> (punti 2)</w:t>
      </w:r>
    </w:p>
    <w:p>
      <w:pPr>
        <w:pStyle w:val="HTMLPreformatted"/>
        <w:jc w:val="both"/>
        <w:rPr/>
      </w:pPr>
      <w:r>
        <w:rPr>
          <w:rFonts w:cs="Arial" w:ascii="Arial" w:hAnsi="Arial"/>
          <w:sz w:val="22"/>
          <w:szCs w:val="22"/>
        </w:rPr>
        <w:t>Si considerano solo le sperimentazioni documentate ante a.s. 2000/01 poichè gli</w:t>
        <w:br/>
        <w:t>artt. 277 e 278 Dlgs 297/94 sono abrogati a partire da tale anno scolastico con il DPR 275/99.</w:t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17"/>
        </w:numPr>
        <w:spacing w:before="0" w:after="0"/>
        <w:rPr/>
      </w:pPr>
      <w:r>
        <w:rPr>
          <w:rFonts w:cs="Arial" w:ascii="Arial" w:hAnsi="Arial"/>
          <w:u w:val="single"/>
        </w:rPr>
        <w:t xml:space="preserve">al punto </w:t>
      </w:r>
      <w:r>
        <w:rPr>
          <w:rFonts w:cs="Arial" w:ascii="Arial" w:hAnsi="Arial"/>
          <w:b/>
          <w:bCs/>
          <w:u w:val="single"/>
        </w:rPr>
        <w:t>j) (punti 3)</w:t>
      </w:r>
    </w:p>
    <w:p>
      <w:pPr>
        <w:pStyle w:val="Standard"/>
        <w:spacing w:before="0" w:after="0"/>
        <w:ind w:start="360"/>
        <w:rPr/>
      </w:pPr>
      <w:r>
        <w:rPr>
          <w:rFonts w:cs="Arial" w:ascii="Arial" w:hAnsi="Arial"/>
        </w:rPr>
        <w:t>vengono considerate:</w:t>
      </w:r>
    </w:p>
    <w:p>
      <w:pPr>
        <w:pStyle w:val="Standard"/>
        <w:numPr>
          <w:ilvl w:val="0"/>
          <w:numId w:val="18"/>
        </w:numPr>
        <w:spacing w:before="0" w:after="0"/>
        <w:rPr/>
      </w:pPr>
      <w:r>
        <w:rPr>
          <w:rFonts w:cs="Arial" w:ascii="Arial" w:hAnsi="Arial"/>
        </w:rPr>
        <w:t>solo le attività di ricerca regolarmente certificate con contratti o incarichi formali in gruppi di ricerca universitari (preposti alla formazione degli insegnanti);</w:t>
      </w:r>
    </w:p>
    <w:p>
      <w:pPr>
        <w:pStyle w:val="Standard"/>
        <w:numPr>
          <w:ilvl w:val="0"/>
          <w:numId w:val="19"/>
        </w:numPr>
        <w:spacing w:before="0" w:after="0"/>
        <w:jc w:val="both"/>
        <w:rPr/>
      </w:pPr>
      <w:r>
        <w:rPr>
          <w:rFonts w:cs="Arial" w:ascii="Arial" w:hAnsi="Arial"/>
        </w:rPr>
        <w:t>solo e tutte le attività di insegnamento universitario, anche quelle svolte presso i Corsi Abilitanti Speciali per l’insegnamento, gestiti dalle Università;</w:t>
      </w:r>
    </w:p>
    <w:p>
      <w:pPr>
        <w:pStyle w:val="Standard"/>
        <w:spacing w:before="0" w:after="0"/>
        <w:ind w:star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20"/>
        </w:numPr>
        <w:spacing w:before="0" w:after="0"/>
        <w:rPr/>
      </w:pPr>
      <w:r>
        <w:rPr>
          <w:rFonts w:cs="Arial" w:ascii="Arial" w:hAnsi="Arial"/>
          <w:u w:val="single"/>
        </w:rPr>
        <w:t xml:space="preserve">al punto </w:t>
      </w:r>
      <w:r>
        <w:rPr>
          <w:rFonts w:cs="Arial" w:ascii="Arial" w:hAnsi="Arial"/>
          <w:b/>
          <w:bCs/>
          <w:u w:val="single"/>
        </w:rPr>
        <w:t>l) (punti 6)</w:t>
      </w:r>
    </w:p>
    <w:p>
      <w:pPr>
        <w:pStyle w:val="Standard"/>
        <w:spacing w:before="0" w:after="0"/>
        <w:jc w:val="both"/>
        <w:rPr/>
      </w:pPr>
      <w:r>
        <w:rPr>
          <w:rFonts w:cs="Arial" w:ascii="Arial" w:hAnsi="Arial"/>
        </w:rPr>
        <w:t>vengono considerate solamente le attività, opportunamente certificate, svolte all’interno di programmi UE.</w:t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l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l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F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VisitedInternetLink" w:customStyle="1">
    <w:name w:val="Visited Internet Link"/>
    <w:basedOn w:val="DefaultParagraphFont"/>
    <w:qFormat/>
    <w:rPr>
      <w:color w:val="800080"/>
      <w:u w:val="single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PreformattatoHTMLCarattere" w:customStyle="1">
    <w:name w:val="Preformattato HTML Carattere"/>
    <w:basedOn w:val="DefaultParagraphFont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commentoCarattere" w:customStyle="1">
    <w:name w:val="Testo commento Carattere"/>
    <w:basedOn w:val="DefaultParagraphFont"/>
    <w:qFormat/>
    <w:rPr>
      <w:rFonts w:ascii="Calibri" w:hAnsi="Calibri" w:eastAsia="Calibri" w:cs="Calibri"/>
      <w:sz w:val="20"/>
      <w:szCs w:val="20"/>
    </w:rPr>
  </w:style>
  <w:style w:type="character" w:styleId="SoggettocommentoCarattere" w:customStyle="1">
    <w:name w:val="Soggetto commento Carattere"/>
    <w:basedOn w:val="TestocommentoCarattere"/>
    <w:qFormat/>
    <w:rPr>
      <w:rFonts w:ascii="Calibri" w:hAnsi="Calibri" w:eastAsia="Calibri" w:cs="Calibri"/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Ari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cs="Calibri" w:ascii="Calibri" w:hAnsi="Calibri" w:eastAsia="Calibri"/>
      <w:color w:val="auto"/>
      <w:kern w:val="0"/>
      <w:sz w:val="22"/>
      <w:szCs w:val="22"/>
      <w:lang w:eastAsia="en-US" w:val="it-IT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Marginalia" w:customStyle="1">
    <w:name w:val="Marginalia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Marginalia"/>
    <w:next w:val="Marginalia"/>
    <w:qFormat/>
    <w:pPr/>
    <w:rPr>
      <w:b/>
      <w:bCs/>
    </w:rPr>
  </w:style>
  <w:style w:type="paragraph" w:styleId="HTMLPreformatted">
    <w:name w:val="HTML Preformatted"/>
    <w:basedOn w:val="Standar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ListParagraph">
    <w:name w:val="List Paragraph"/>
    <w:basedOn w:val="Standard"/>
    <w:qFormat/>
    <w:pPr>
      <w:spacing w:before="0" w:after="200"/>
      <w:ind w:start="720"/>
      <w:contextualSpacing/>
    </w:pPr>
    <w:rPr/>
  </w:style>
  <w:style w:type="numbering" w:styleId="Nessunelenco" w:customStyle="1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iur.gov.it/accreditamento-enti-e-qualificazione-associazion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LibreOffice/25.8.1.1$Windows_X86_64 LibreOffice_project/54047653041915e595ad4e45cccea684809c77b5</Application>
  <AppVersion>15.0000</AppVersion>
  <Pages>2</Pages>
  <Words>388</Words>
  <Characters>2281</Characters>
  <CharactersWithSpaces>2624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2025-09-30T12:09:00Z</dcterms:created>
  <dc:creator>Administrator</dc:creator>
  <dc:description/>
  <dc:language>it-IT</dc:language>
  <cp:lastModifiedBy/>
  <dcterms:modified xsi:type="dcterms:W3CDTF">2025-09-30T14:21:35Z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  <property fmtid="{D5CDD505-2E9C-101B-9397-08002B2CF9AE}" pid="3" name="KSOProductBuildVer">
    <vt:lpwstr>1033-11.2.0.9255</vt:lpwstr>
  </property>
</Properties>
</file>